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878" w14:textId="77777777" w:rsidR="00CE75D2" w:rsidRDefault="00CE75D2">
      <w:pPr>
        <w:spacing w:line="360" w:lineRule="auto"/>
        <w:rPr>
          <w:rFonts w:ascii="Arial" w:eastAsia="Arial" w:hAnsi="Arial" w:cs="Arial"/>
          <w:sz w:val="28"/>
          <w:szCs w:val="28"/>
        </w:rPr>
      </w:pPr>
    </w:p>
    <w:p w14:paraId="1056D879" w14:textId="77777777" w:rsidR="00CE75D2" w:rsidRDefault="001545BF">
      <w:pPr>
        <w:spacing w:line="360" w:lineRule="auto"/>
        <w:rPr>
          <w:rFonts w:ascii="Arial" w:eastAsia="Arial" w:hAnsi="Arial" w:cs="Arial"/>
          <w:sz w:val="28"/>
          <w:szCs w:val="28"/>
        </w:rPr>
      </w:pPr>
      <w:r>
        <w:rPr>
          <w:rFonts w:ascii="Arial" w:eastAsia="Arial" w:hAnsi="Arial" w:cs="Arial"/>
          <w:b/>
          <w:sz w:val="28"/>
          <w:szCs w:val="28"/>
        </w:rPr>
        <w:t>6.6 Food hygiene</w:t>
      </w:r>
    </w:p>
    <w:p w14:paraId="1056D87A" w14:textId="77777777" w:rsidR="00CE75D2" w:rsidRDefault="00CE75D2">
      <w:pPr>
        <w:spacing w:line="360" w:lineRule="auto"/>
        <w:rPr>
          <w:rFonts w:ascii="Arial" w:eastAsia="Arial" w:hAnsi="Arial" w:cs="Arial"/>
          <w:sz w:val="28"/>
          <w:szCs w:val="28"/>
        </w:rPr>
      </w:pPr>
    </w:p>
    <w:p w14:paraId="1056D87B" w14:textId="77777777" w:rsidR="00CE75D2" w:rsidRDefault="001545BF">
      <w:pPr>
        <w:spacing w:line="360" w:lineRule="auto"/>
        <w:rPr>
          <w:rFonts w:ascii="Arial" w:eastAsia="Arial" w:hAnsi="Arial" w:cs="Arial"/>
          <w:sz w:val="22"/>
          <w:szCs w:val="22"/>
        </w:rPr>
      </w:pPr>
      <w:r>
        <w:rPr>
          <w:rFonts w:ascii="Arial" w:eastAsia="Arial" w:hAnsi="Arial" w:cs="Arial"/>
          <w:b/>
          <w:sz w:val="22"/>
          <w:szCs w:val="22"/>
        </w:rPr>
        <w:t>Policy statement</w:t>
      </w:r>
    </w:p>
    <w:p w14:paraId="1056D87C" w14:textId="77777777" w:rsidR="00CE75D2" w:rsidRDefault="00CE75D2">
      <w:pPr>
        <w:spacing w:line="360" w:lineRule="auto"/>
        <w:rPr>
          <w:rFonts w:ascii="Arial" w:eastAsia="Arial" w:hAnsi="Arial" w:cs="Arial"/>
          <w:sz w:val="22"/>
          <w:szCs w:val="22"/>
        </w:rPr>
      </w:pPr>
    </w:p>
    <w:p w14:paraId="1056D87D" w14:textId="77777777" w:rsidR="00CE75D2" w:rsidRDefault="001545BF">
      <w:pPr>
        <w:spacing w:line="360" w:lineRule="auto"/>
        <w:rPr>
          <w:rFonts w:ascii="Arial" w:eastAsia="Arial" w:hAnsi="Arial" w:cs="Arial"/>
          <w:sz w:val="22"/>
          <w:szCs w:val="22"/>
        </w:rPr>
      </w:pPr>
      <w:r>
        <w:rPr>
          <w:rFonts w:ascii="Arial" w:eastAsia="Arial" w:hAnsi="Arial" w:cs="Arial"/>
          <w:sz w:val="22"/>
          <w:szCs w:val="22"/>
        </w:rPr>
        <w:t xml:space="preserve">We provide and/or serve food for children on the following basis </w:t>
      </w:r>
    </w:p>
    <w:p w14:paraId="1056D87E" w14:textId="77777777" w:rsidR="00CE75D2" w:rsidRDefault="001545BF">
      <w:pPr>
        <w:numPr>
          <w:ilvl w:val="0"/>
          <w:numId w:val="5"/>
        </w:numPr>
        <w:pBdr>
          <w:top w:val="nil"/>
          <w:left w:val="nil"/>
          <w:bottom w:val="nil"/>
          <w:right w:val="nil"/>
          <w:between w:val="nil"/>
        </w:pBdr>
        <w:spacing w:line="360" w:lineRule="auto"/>
        <w:rPr>
          <w:sz w:val="22"/>
          <w:szCs w:val="22"/>
        </w:rPr>
      </w:pPr>
      <w:r>
        <w:rPr>
          <w:rFonts w:ascii="Arial" w:eastAsia="Arial" w:hAnsi="Arial" w:cs="Arial"/>
          <w:color w:val="000000"/>
          <w:sz w:val="22"/>
          <w:szCs w:val="22"/>
        </w:rPr>
        <w:t>Snacks.</w:t>
      </w:r>
    </w:p>
    <w:p w14:paraId="1056D87F" w14:textId="77777777" w:rsidR="00CE75D2" w:rsidRDefault="001545BF">
      <w:pPr>
        <w:numPr>
          <w:ilvl w:val="0"/>
          <w:numId w:val="5"/>
        </w:numPr>
        <w:pBdr>
          <w:top w:val="nil"/>
          <w:left w:val="nil"/>
          <w:bottom w:val="nil"/>
          <w:right w:val="nil"/>
          <w:between w:val="nil"/>
        </w:pBdr>
        <w:spacing w:line="360" w:lineRule="auto"/>
        <w:rPr>
          <w:sz w:val="22"/>
          <w:szCs w:val="22"/>
        </w:rPr>
      </w:pPr>
      <w:r>
        <w:rPr>
          <w:rFonts w:ascii="Arial" w:eastAsia="Arial" w:hAnsi="Arial" w:cs="Arial"/>
          <w:color w:val="000000"/>
          <w:sz w:val="22"/>
          <w:szCs w:val="22"/>
        </w:rPr>
        <w:t>Meals. Including Breakfast, lunch and tea time</w:t>
      </w:r>
    </w:p>
    <w:p w14:paraId="1056D880" w14:textId="77777777" w:rsidR="00CE75D2" w:rsidRDefault="001545BF">
      <w:pPr>
        <w:numPr>
          <w:ilvl w:val="0"/>
          <w:numId w:val="5"/>
        </w:numPr>
        <w:pBdr>
          <w:top w:val="nil"/>
          <w:left w:val="nil"/>
          <w:bottom w:val="nil"/>
          <w:right w:val="nil"/>
          <w:between w:val="nil"/>
        </w:pBdr>
        <w:spacing w:line="360" w:lineRule="auto"/>
        <w:rPr>
          <w:sz w:val="22"/>
          <w:szCs w:val="22"/>
        </w:rPr>
      </w:pPr>
      <w:r>
        <w:rPr>
          <w:rFonts w:ascii="Arial" w:eastAsia="Arial" w:hAnsi="Arial" w:cs="Arial"/>
          <w:color w:val="000000"/>
          <w:sz w:val="22"/>
          <w:szCs w:val="22"/>
        </w:rPr>
        <w:t>Packed lunches.</w:t>
      </w:r>
    </w:p>
    <w:p w14:paraId="1056D881" w14:textId="77777777" w:rsidR="00CE75D2" w:rsidRDefault="00CE75D2">
      <w:pPr>
        <w:pBdr>
          <w:top w:val="nil"/>
          <w:left w:val="nil"/>
          <w:bottom w:val="nil"/>
          <w:right w:val="nil"/>
          <w:between w:val="nil"/>
        </w:pBdr>
        <w:spacing w:line="360" w:lineRule="auto"/>
        <w:ind w:left="360"/>
        <w:rPr>
          <w:rFonts w:ascii="Arial" w:eastAsia="Arial" w:hAnsi="Arial" w:cs="Arial"/>
          <w:color w:val="000000"/>
          <w:sz w:val="22"/>
          <w:szCs w:val="22"/>
        </w:rPr>
      </w:pPr>
    </w:p>
    <w:p w14:paraId="1056D882" w14:textId="77777777" w:rsidR="00CE75D2" w:rsidRDefault="001545BF">
      <w:pPr>
        <w:spacing w:line="360" w:lineRule="auto"/>
        <w:rPr>
          <w:rFonts w:ascii="Arial" w:eastAsia="Arial" w:hAnsi="Arial" w:cs="Arial"/>
          <w:sz w:val="22"/>
          <w:szCs w:val="22"/>
        </w:rPr>
      </w:pPr>
      <w:r>
        <w:rPr>
          <w:rFonts w:ascii="Arial" w:eastAsia="Arial" w:hAnsi="Arial" w:cs="Arial"/>
          <w:sz w:val="22"/>
          <w:szCs w:val="22"/>
        </w:rPr>
        <w:t>We maintain the highest possible food hygiene standards with regard to the purchase, storage, preparation and serving of food.</w:t>
      </w:r>
    </w:p>
    <w:p w14:paraId="1056D883" w14:textId="77777777" w:rsidR="00CE75D2" w:rsidRDefault="00CE75D2">
      <w:pPr>
        <w:spacing w:line="360" w:lineRule="auto"/>
        <w:rPr>
          <w:rFonts w:ascii="Arial" w:eastAsia="Arial" w:hAnsi="Arial" w:cs="Arial"/>
          <w:sz w:val="22"/>
          <w:szCs w:val="22"/>
        </w:rPr>
      </w:pPr>
    </w:p>
    <w:p w14:paraId="1056D884" w14:textId="77777777" w:rsidR="00CE75D2" w:rsidRDefault="001545BF">
      <w:pPr>
        <w:spacing w:line="360" w:lineRule="auto"/>
        <w:rPr>
          <w:rFonts w:ascii="Arial" w:eastAsia="Arial" w:hAnsi="Arial" w:cs="Arial"/>
          <w:sz w:val="22"/>
          <w:szCs w:val="22"/>
        </w:rPr>
      </w:pPr>
      <w:r>
        <w:rPr>
          <w:rFonts w:ascii="Arial" w:eastAsia="Arial" w:hAnsi="Arial" w:cs="Arial"/>
          <w:sz w:val="22"/>
          <w:szCs w:val="22"/>
        </w:rPr>
        <w:t>We are registered as a food provider with the local authority Environmental Health Department.</w:t>
      </w:r>
      <w:r>
        <w:rPr>
          <w:rFonts w:ascii="Arial" w:eastAsia="Arial" w:hAnsi="Arial" w:cs="Arial"/>
          <w:i/>
          <w:sz w:val="22"/>
          <w:szCs w:val="22"/>
        </w:rPr>
        <w:t xml:space="preserve"> (Local authorities will advise on whether individual providers are required to register.)</w:t>
      </w:r>
    </w:p>
    <w:p w14:paraId="1056D885" w14:textId="77777777" w:rsidR="00CE75D2" w:rsidRDefault="00CE75D2">
      <w:pPr>
        <w:spacing w:line="360" w:lineRule="auto"/>
        <w:rPr>
          <w:rFonts w:ascii="Arial" w:eastAsia="Arial" w:hAnsi="Arial" w:cs="Arial"/>
          <w:sz w:val="22"/>
          <w:szCs w:val="22"/>
        </w:rPr>
      </w:pPr>
    </w:p>
    <w:p w14:paraId="1056D886" w14:textId="77777777" w:rsidR="00CE75D2" w:rsidRDefault="001545BF">
      <w:pPr>
        <w:spacing w:line="360" w:lineRule="auto"/>
        <w:rPr>
          <w:rFonts w:ascii="Arial" w:eastAsia="Arial" w:hAnsi="Arial" w:cs="Arial"/>
          <w:sz w:val="22"/>
          <w:szCs w:val="22"/>
        </w:rPr>
      </w:pPr>
      <w:r>
        <w:rPr>
          <w:rFonts w:ascii="Arial" w:eastAsia="Arial" w:hAnsi="Arial" w:cs="Arial"/>
          <w:b/>
          <w:sz w:val="22"/>
          <w:szCs w:val="22"/>
        </w:rPr>
        <w:t>Procedures</w:t>
      </w:r>
    </w:p>
    <w:p w14:paraId="1056D887" w14:textId="77777777" w:rsidR="00CE75D2" w:rsidRDefault="00CE75D2">
      <w:pPr>
        <w:spacing w:line="360" w:lineRule="auto"/>
        <w:ind w:left="360"/>
        <w:rPr>
          <w:rFonts w:ascii="Arial" w:eastAsia="Arial" w:hAnsi="Arial" w:cs="Arial"/>
          <w:sz w:val="22"/>
          <w:szCs w:val="22"/>
        </w:rPr>
      </w:pPr>
    </w:p>
    <w:p w14:paraId="1056D888" w14:textId="77777777" w:rsidR="00CE75D2" w:rsidRDefault="001545BF">
      <w:pPr>
        <w:numPr>
          <w:ilvl w:val="0"/>
          <w:numId w:val="6"/>
        </w:numPr>
        <w:pBdr>
          <w:top w:val="nil"/>
          <w:left w:val="nil"/>
          <w:bottom w:val="nil"/>
          <w:right w:val="nil"/>
          <w:between w:val="nil"/>
        </w:pBdr>
        <w:spacing w:line="360" w:lineRule="auto"/>
        <w:ind w:left="357" w:hanging="357"/>
        <w:rPr>
          <w:sz w:val="22"/>
          <w:szCs w:val="22"/>
        </w:rPr>
      </w:pPr>
      <w:r>
        <w:rPr>
          <w:rFonts w:ascii="Arial" w:eastAsia="Arial" w:hAnsi="Arial" w:cs="Arial"/>
          <w:color w:val="000000"/>
          <w:sz w:val="22"/>
          <w:szCs w:val="22"/>
        </w:rPr>
        <w:t>Our staff with responsibility for food preparation staff understand the principles of Hazard Analysis and Critical Control Point (HACCP) as it applies to our setting. This is set out in Safer Food, Better Business [for Caterers (</w:t>
      </w:r>
      <w:r>
        <w:rPr>
          <w:rFonts w:ascii="Arial" w:eastAsia="Arial" w:hAnsi="Arial" w:cs="Arial"/>
          <w:i/>
          <w:color w:val="000000"/>
          <w:sz w:val="22"/>
          <w:szCs w:val="22"/>
        </w:rPr>
        <w:t>for groups)</w:t>
      </w:r>
      <w:r>
        <w:rPr>
          <w:rFonts w:ascii="Arial" w:eastAsia="Arial" w:hAnsi="Arial" w:cs="Arial"/>
          <w:color w:val="000000"/>
          <w:sz w:val="22"/>
          <w:szCs w:val="22"/>
        </w:rPr>
        <w:t>/for Childminders (</w:t>
      </w:r>
      <w:r>
        <w:rPr>
          <w:rFonts w:ascii="Arial" w:eastAsia="Arial" w:hAnsi="Arial" w:cs="Arial"/>
          <w:i/>
          <w:color w:val="000000"/>
          <w:sz w:val="22"/>
          <w:szCs w:val="22"/>
        </w:rPr>
        <w:t>which groups will also find helpful)</w:t>
      </w:r>
      <w:r>
        <w:rPr>
          <w:rFonts w:ascii="Arial" w:eastAsia="Arial" w:hAnsi="Arial" w:cs="Arial"/>
          <w:color w:val="000000"/>
          <w:sz w:val="22"/>
          <w:szCs w:val="22"/>
        </w:rPr>
        <w:t>] (Food Standards Agency 2011). The basis for this is risk assessment of the purchase, storage, preparation and serving of food to prevent growth of bacteria and food contamination.</w:t>
      </w:r>
    </w:p>
    <w:p w14:paraId="1056D889"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All our staff follow the guidelines of Safer Food, Better Business.</w:t>
      </w:r>
    </w:p>
    <w:p w14:paraId="1056D88A"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 xml:space="preserve">All our staff who are involved in the preparation and handling of food have received training in food hygiene. </w:t>
      </w:r>
    </w:p>
    <w:p w14:paraId="1056D88B"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 xml:space="preserve">All staff are required to hold a valid food hygiene certificate, if they do not have an up to date </w:t>
      </w:r>
      <w:proofErr w:type="gramStart"/>
      <w:r>
        <w:rPr>
          <w:rFonts w:ascii="Arial" w:eastAsia="Arial" w:hAnsi="Arial" w:cs="Arial"/>
          <w:color w:val="000000"/>
          <w:sz w:val="22"/>
          <w:szCs w:val="22"/>
        </w:rPr>
        <w:t>one</w:t>
      </w:r>
      <w:proofErr w:type="gramEnd"/>
      <w:r>
        <w:rPr>
          <w:rFonts w:ascii="Arial" w:eastAsia="Arial" w:hAnsi="Arial" w:cs="Arial"/>
          <w:color w:val="000000"/>
          <w:sz w:val="22"/>
          <w:szCs w:val="22"/>
        </w:rPr>
        <w:t xml:space="preserve"> we ask them not to be responsible for preparing any food.</w:t>
      </w:r>
    </w:p>
    <w:p w14:paraId="1056D88C"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All staff when preparing food should wear blue gloves.</w:t>
      </w:r>
    </w:p>
    <w:p w14:paraId="1056D88D"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The staff who are in on a given day responsible for food preparation and serving carries out daily opening and closing checks on the kitchen to ensure standards are met consistently. (See Safer Food, Better Business)</w:t>
      </w:r>
    </w:p>
    <w:p w14:paraId="1056D88E"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We use reliable suppliers for the food we purchase.</w:t>
      </w:r>
    </w:p>
    <w:p w14:paraId="1056D88F"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Food is stored at correct temperatures and is checked to ensure it is in-date and not subject to contamination by pests, rodents or mould.</w:t>
      </w:r>
    </w:p>
    <w:p w14:paraId="1056D890"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Packed lunches are stored in a cool place; un-refrigerated food is served to children within 4 hours of preparation at home.</w:t>
      </w:r>
    </w:p>
    <w:p w14:paraId="1056D891"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Food preparation areas are cleaned before and after use.</w:t>
      </w:r>
    </w:p>
    <w:p w14:paraId="1056D892"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lastRenderedPageBreak/>
        <w:t>There are separate facilities for hand-washing and for washing-up.</w:t>
      </w:r>
    </w:p>
    <w:p w14:paraId="1056D893"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All surfaces are clean and non-porous.</w:t>
      </w:r>
    </w:p>
    <w:p w14:paraId="1056D894"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All utensils, crockery etc. are clean and stored appropriately.</w:t>
      </w:r>
    </w:p>
    <w:p w14:paraId="1056D895" w14:textId="77777777" w:rsidR="00CE75D2" w:rsidRDefault="001545BF">
      <w:pPr>
        <w:numPr>
          <w:ilvl w:val="0"/>
          <w:numId w:val="2"/>
        </w:numPr>
        <w:pBdr>
          <w:top w:val="nil"/>
          <w:left w:val="nil"/>
          <w:bottom w:val="nil"/>
          <w:right w:val="nil"/>
          <w:between w:val="nil"/>
        </w:pBdr>
        <w:spacing w:line="360" w:lineRule="auto"/>
        <w:rPr>
          <w:sz w:val="22"/>
          <w:szCs w:val="22"/>
        </w:rPr>
      </w:pPr>
      <w:r>
        <w:rPr>
          <w:rFonts w:ascii="Arial" w:eastAsia="Arial" w:hAnsi="Arial" w:cs="Arial"/>
          <w:color w:val="000000"/>
          <w:sz w:val="22"/>
          <w:szCs w:val="22"/>
        </w:rPr>
        <w:t>Waste food is disposed of daily.</w:t>
      </w:r>
    </w:p>
    <w:p w14:paraId="1056D896"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Cleaning materials and other dangerous materials are stored out of children's reach.</w:t>
      </w:r>
    </w:p>
    <w:p w14:paraId="1056D897"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Children do not have unsupervised access to the kitchen.</w:t>
      </w:r>
    </w:p>
    <w:p w14:paraId="1056D898"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When children take part in cooking activities, they:</w:t>
      </w:r>
    </w:p>
    <w:p w14:paraId="1056D899" w14:textId="77777777" w:rsidR="00CE75D2" w:rsidRDefault="001545BF">
      <w:pPr>
        <w:numPr>
          <w:ilvl w:val="0"/>
          <w:numId w:val="1"/>
        </w:numPr>
        <w:pBdr>
          <w:top w:val="nil"/>
          <w:left w:val="nil"/>
          <w:bottom w:val="nil"/>
          <w:right w:val="nil"/>
          <w:between w:val="nil"/>
        </w:pBdr>
        <w:spacing w:line="360" w:lineRule="auto"/>
        <w:ind w:left="714" w:hanging="357"/>
        <w:rPr>
          <w:sz w:val="22"/>
          <w:szCs w:val="22"/>
        </w:rPr>
      </w:pPr>
      <w:r>
        <w:rPr>
          <w:rFonts w:ascii="Arial" w:eastAsia="Arial" w:hAnsi="Arial" w:cs="Arial"/>
          <w:color w:val="000000"/>
          <w:sz w:val="22"/>
          <w:szCs w:val="22"/>
        </w:rPr>
        <w:t>are supervised at all times;</w:t>
      </w:r>
    </w:p>
    <w:p w14:paraId="1056D89A" w14:textId="77777777" w:rsidR="00CE75D2" w:rsidRDefault="001545BF">
      <w:pPr>
        <w:numPr>
          <w:ilvl w:val="0"/>
          <w:numId w:val="1"/>
        </w:numPr>
        <w:pBdr>
          <w:top w:val="nil"/>
          <w:left w:val="nil"/>
          <w:bottom w:val="nil"/>
          <w:right w:val="nil"/>
          <w:between w:val="nil"/>
        </w:pBdr>
        <w:spacing w:line="360" w:lineRule="auto"/>
        <w:ind w:left="714" w:hanging="357"/>
        <w:rPr>
          <w:sz w:val="22"/>
          <w:szCs w:val="22"/>
        </w:rPr>
      </w:pPr>
      <w:r>
        <w:rPr>
          <w:rFonts w:ascii="Arial" w:eastAsia="Arial" w:hAnsi="Arial" w:cs="Arial"/>
          <w:color w:val="000000"/>
          <w:sz w:val="22"/>
          <w:szCs w:val="22"/>
        </w:rPr>
        <w:t>understand the importance of hand-washing and simple hygiene rules;</w:t>
      </w:r>
    </w:p>
    <w:p w14:paraId="1056D89B" w14:textId="77777777" w:rsidR="00CE75D2" w:rsidRDefault="001545BF">
      <w:pPr>
        <w:numPr>
          <w:ilvl w:val="0"/>
          <w:numId w:val="1"/>
        </w:numPr>
        <w:pBdr>
          <w:top w:val="nil"/>
          <w:left w:val="nil"/>
          <w:bottom w:val="nil"/>
          <w:right w:val="nil"/>
          <w:between w:val="nil"/>
        </w:pBdr>
        <w:spacing w:line="360" w:lineRule="auto"/>
        <w:ind w:left="714" w:hanging="357"/>
        <w:rPr>
          <w:sz w:val="22"/>
          <w:szCs w:val="22"/>
        </w:rPr>
      </w:pPr>
      <w:r>
        <w:rPr>
          <w:rFonts w:ascii="Arial" w:eastAsia="Arial" w:hAnsi="Arial" w:cs="Arial"/>
          <w:color w:val="000000"/>
          <w:sz w:val="22"/>
          <w:szCs w:val="22"/>
        </w:rPr>
        <w:t>are kept away from hot surfaces and hot water; and</w:t>
      </w:r>
    </w:p>
    <w:p w14:paraId="1056D89C" w14:textId="77777777" w:rsidR="00CE75D2" w:rsidRDefault="001545BF">
      <w:pPr>
        <w:numPr>
          <w:ilvl w:val="0"/>
          <w:numId w:val="1"/>
        </w:numPr>
        <w:pBdr>
          <w:top w:val="nil"/>
          <w:left w:val="nil"/>
          <w:bottom w:val="nil"/>
          <w:right w:val="nil"/>
          <w:between w:val="nil"/>
        </w:pBdr>
        <w:spacing w:line="360" w:lineRule="auto"/>
        <w:ind w:left="714" w:hanging="357"/>
        <w:rPr>
          <w:sz w:val="22"/>
          <w:szCs w:val="22"/>
        </w:rPr>
      </w:pPr>
      <w:r>
        <w:rPr>
          <w:rFonts w:ascii="Arial" w:eastAsia="Arial" w:hAnsi="Arial" w:cs="Arial"/>
          <w:color w:val="000000"/>
          <w:sz w:val="22"/>
          <w:szCs w:val="22"/>
        </w:rPr>
        <w:t>do not have unsupervised access to electrical equipment, such as blenders etc.</w:t>
      </w:r>
    </w:p>
    <w:p w14:paraId="1056D89D" w14:textId="77777777" w:rsidR="00CE75D2" w:rsidRDefault="00CE75D2">
      <w:pPr>
        <w:pBdr>
          <w:top w:val="nil"/>
          <w:left w:val="nil"/>
          <w:bottom w:val="nil"/>
          <w:right w:val="nil"/>
          <w:between w:val="nil"/>
        </w:pBdr>
        <w:spacing w:line="360" w:lineRule="auto"/>
        <w:rPr>
          <w:rFonts w:ascii="Arial" w:eastAsia="Arial" w:hAnsi="Arial" w:cs="Arial"/>
          <w:color w:val="000000"/>
          <w:sz w:val="22"/>
          <w:szCs w:val="22"/>
        </w:rPr>
      </w:pPr>
    </w:p>
    <w:p w14:paraId="1056D89E" w14:textId="77777777" w:rsidR="00CE75D2" w:rsidRDefault="001545BF">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i/>
          <w:color w:val="000000"/>
          <w:sz w:val="22"/>
          <w:szCs w:val="22"/>
        </w:rPr>
        <w:t>Reporting of food poisoning</w:t>
      </w:r>
    </w:p>
    <w:p w14:paraId="1056D89F" w14:textId="77777777" w:rsidR="00CE75D2" w:rsidRDefault="001545BF">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Food poisoning can occur for a number of reasons; not all cases of sickness or diarrhoea are as a result of food poisoning and not all cases of sickness or diarrhoea are reportable.</w:t>
      </w:r>
    </w:p>
    <w:p w14:paraId="1056D8A0"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1056D8A1"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We notify Ofsted as soon as reasonably practicable of any confirmed cases of food poisoning affecting two or more children looked after on the premises, and always within 14 days of the incident.</w:t>
      </w:r>
    </w:p>
    <w:p w14:paraId="1056D8A2" w14:textId="77777777" w:rsidR="00CE75D2" w:rsidRDefault="001545BF">
      <w:pPr>
        <w:pBdr>
          <w:top w:val="nil"/>
          <w:left w:val="nil"/>
          <w:bottom w:val="nil"/>
          <w:right w:val="nil"/>
          <w:between w:val="nil"/>
        </w:pBdr>
        <w:spacing w:line="360" w:lineRule="auto"/>
        <w:rPr>
          <w:rFonts w:ascii="Arial" w:eastAsia="Arial" w:hAnsi="Arial" w:cs="Arial"/>
          <w:b/>
          <w:sz w:val="22"/>
          <w:szCs w:val="22"/>
        </w:rPr>
      </w:pPr>
      <w:r>
        <w:rPr>
          <w:rFonts w:ascii="Arial" w:eastAsia="Arial" w:hAnsi="Arial" w:cs="Arial"/>
          <w:b/>
          <w:sz w:val="22"/>
          <w:szCs w:val="22"/>
        </w:rPr>
        <w:t>Outside cooking</w:t>
      </w:r>
    </w:p>
    <w:p w14:paraId="1056D8A3" w14:textId="77777777" w:rsidR="00CE75D2" w:rsidRDefault="001545BF">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We will follow our food </w:t>
      </w:r>
      <w:proofErr w:type="spellStart"/>
      <w:r>
        <w:rPr>
          <w:rFonts w:ascii="Arial" w:eastAsia="Arial" w:hAnsi="Arial" w:cs="Arial"/>
          <w:sz w:val="22"/>
          <w:szCs w:val="22"/>
        </w:rPr>
        <w:t>hygeine</w:t>
      </w:r>
      <w:proofErr w:type="spellEnd"/>
      <w:r>
        <w:rPr>
          <w:rFonts w:ascii="Arial" w:eastAsia="Arial" w:hAnsi="Arial" w:cs="Arial"/>
          <w:sz w:val="22"/>
          <w:szCs w:val="22"/>
        </w:rPr>
        <w:t xml:space="preserve"> policy whilst cooking outside.</w:t>
      </w:r>
    </w:p>
    <w:p w14:paraId="1056D8A4" w14:textId="77777777" w:rsidR="00CE75D2" w:rsidRDefault="001545BF">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 xml:space="preserve">We will ensure that these is </w:t>
      </w:r>
      <w:proofErr w:type="spellStart"/>
      <w:r>
        <w:rPr>
          <w:rFonts w:ascii="Arial" w:eastAsia="Arial" w:hAnsi="Arial" w:cs="Arial"/>
          <w:sz w:val="22"/>
          <w:szCs w:val="22"/>
        </w:rPr>
        <w:t>adiquite</w:t>
      </w:r>
      <w:proofErr w:type="spellEnd"/>
      <w:r>
        <w:rPr>
          <w:rFonts w:ascii="Arial" w:eastAsia="Arial" w:hAnsi="Arial" w:cs="Arial"/>
          <w:sz w:val="22"/>
          <w:szCs w:val="22"/>
        </w:rPr>
        <w:t xml:space="preserve"> hand washing and sanitation whilst cooking.</w:t>
      </w:r>
    </w:p>
    <w:p w14:paraId="1056D8A5" w14:textId="77777777" w:rsidR="00CE75D2" w:rsidRDefault="001545BF">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When involving children in cooking we will follow our fire safety policy and ensure what we are doing is age appropriate for our children.</w:t>
      </w:r>
    </w:p>
    <w:p w14:paraId="1056D8A6" w14:textId="77777777" w:rsidR="00CE75D2" w:rsidRDefault="001545BF">
      <w:pPr>
        <w:numPr>
          <w:ilvl w:val="0"/>
          <w:numId w:val="4"/>
        </w:numPr>
        <w:pBdr>
          <w:top w:val="nil"/>
          <w:left w:val="nil"/>
          <w:bottom w:val="nil"/>
          <w:right w:val="nil"/>
          <w:between w:val="nil"/>
        </w:pBdr>
        <w:spacing w:line="360" w:lineRule="auto"/>
        <w:rPr>
          <w:rFonts w:ascii="Arial" w:eastAsia="Arial" w:hAnsi="Arial" w:cs="Arial"/>
          <w:sz w:val="22"/>
          <w:szCs w:val="22"/>
        </w:rPr>
      </w:pPr>
      <w:r>
        <w:rPr>
          <w:rFonts w:ascii="Arial" w:eastAsia="Arial" w:hAnsi="Arial" w:cs="Arial"/>
          <w:sz w:val="22"/>
          <w:szCs w:val="22"/>
        </w:rPr>
        <w:t>We will keep a food log the same as in setting of any food consumed at forest school.</w:t>
      </w:r>
    </w:p>
    <w:p w14:paraId="1056D8A7" w14:textId="77777777" w:rsidR="00CE75D2" w:rsidRDefault="00CE75D2">
      <w:pPr>
        <w:pBdr>
          <w:top w:val="nil"/>
          <w:left w:val="nil"/>
          <w:bottom w:val="nil"/>
          <w:right w:val="nil"/>
          <w:between w:val="nil"/>
        </w:pBdr>
        <w:spacing w:line="360" w:lineRule="auto"/>
        <w:rPr>
          <w:rFonts w:ascii="Arial" w:eastAsia="Arial" w:hAnsi="Arial" w:cs="Arial"/>
          <w:color w:val="000000"/>
          <w:sz w:val="22"/>
          <w:szCs w:val="22"/>
        </w:rPr>
      </w:pPr>
    </w:p>
    <w:p w14:paraId="1056D8A8" w14:textId="77777777" w:rsidR="00CE75D2" w:rsidRDefault="001545BF">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b/>
          <w:color w:val="000000"/>
          <w:sz w:val="22"/>
          <w:szCs w:val="22"/>
        </w:rPr>
        <w:t>Legal framework</w:t>
      </w:r>
    </w:p>
    <w:p w14:paraId="1056D8A9" w14:textId="77777777" w:rsidR="00CE75D2" w:rsidRDefault="00CE75D2">
      <w:pPr>
        <w:pBdr>
          <w:top w:val="nil"/>
          <w:left w:val="nil"/>
          <w:bottom w:val="nil"/>
          <w:right w:val="nil"/>
          <w:between w:val="nil"/>
        </w:pBdr>
        <w:spacing w:line="360" w:lineRule="auto"/>
        <w:rPr>
          <w:rFonts w:ascii="Arial" w:eastAsia="Arial" w:hAnsi="Arial" w:cs="Arial"/>
          <w:color w:val="000000"/>
          <w:sz w:val="22"/>
          <w:szCs w:val="22"/>
        </w:rPr>
      </w:pPr>
    </w:p>
    <w:p w14:paraId="1056D8AA"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Regulation (EC) 852/2004 of the European Parliament and of the Council on the Hygiene of Foodstuffs</w:t>
      </w:r>
    </w:p>
    <w:p w14:paraId="1056D8AB" w14:textId="77777777" w:rsidR="00CE75D2" w:rsidRDefault="00CE75D2">
      <w:pPr>
        <w:spacing w:line="360" w:lineRule="auto"/>
        <w:rPr>
          <w:rFonts w:ascii="Arial" w:eastAsia="Arial" w:hAnsi="Arial" w:cs="Arial"/>
          <w:sz w:val="22"/>
          <w:szCs w:val="22"/>
        </w:rPr>
      </w:pPr>
    </w:p>
    <w:p w14:paraId="1056D8AC" w14:textId="77777777" w:rsidR="00CE75D2" w:rsidRDefault="001545BF">
      <w:pPr>
        <w:spacing w:line="360" w:lineRule="auto"/>
        <w:rPr>
          <w:rFonts w:ascii="Arial" w:eastAsia="Arial" w:hAnsi="Arial" w:cs="Arial"/>
          <w:sz w:val="22"/>
          <w:szCs w:val="22"/>
        </w:rPr>
      </w:pPr>
      <w:r>
        <w:rPr>
          <w:rFonts w:ascii="Arial" w:eastAsia="Arial" w:hAnsi="Arial" w:cs="Arial"/>
          <w:b/>
          <w:sz w:val="22"/>
          <w:szCs w:val="22"/>
        </w:rPr>
        <w:t>Further guidance</w:t>
      </w:r>
    </w:p>
    <w:p w14:paraId="1056D8AD" w14:textId="77777777" w:rsidR="00CE75D2" w:rsidRDefault="00CE75D2">
      <w:pPr>
        <w:spacing w:line="360" w:lineRule="auto"/>
        <w:rPr>
          <w:rFonts w:ascii="Arial" w:eastAsia="Arial" w:hAnsi="Arial" w:cs="Arial"/>
          <w:sz w:val="22"/>
          <w:szCs w:val="22"/>
        </w:rPr>
      </w:pPr>
    </w:p>
    <w:p w14:paraId="1056D8AE"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color w:val="000000"/>
          <w:sz w:val="22"/>
          <w:szCs w:val="22"/>
        </w:rPr>
        <w:t>Safer Food Better Business (Food Standards Agency 2011)</w:t>
      </w:r>
    </w:p>
    <w:p w14:paraId="1056D8AF" w14:textId="77777777" w:rsidR="00CE75D2" w:rsidRDefault="001545BF">
      <w:pPr>
        <w:numPr>
          <w:ilvl w:val="0"/>
          <w:numId w:val="3"/>
        </w:numPr>
        <w:pBdr>
          <w:top w:val="nil"/>
          <w:left w:val="nil"/>
          <w:bottom w:val="nil"/>
          <w:right w:val="nil"/>
          <w:between w:val="nil"/>
        </w:pBdr>
        <w:spacing w:line="360" w:lineRule="auto"/>
        <w:rPr>
          <w:sz w:val="22"/>
          <w:szCs w:val="22"/>
        </w:rPr>
      </w:pPr>
      <w:r>
        <w:rPr>
          <w:rFonts w:ascii="Arial" w:eastAsia="Arial" w:hAnsi="Arial" w:cs="Arial"/>
          <w:sz w:val="22"/>
          <w:szCs w:val="22"/>
        </w:rPr>
        <w:t>Recommended Guidance for Outdoor Cooking Operations at Permanent Food Establishments (2014)</w:t>
      </w:r>
      <w:r>
        <w:rPr>
          <w:rFonts w:ascii="Arial" w:eastAsia="Arial" w:hAnsi="Arial" w:cs="Arial"/>
          <w:color w:val="000000"/>
          <w:sz w:val="22"/>
          <w:szCs w:val="22"/>
        </w:rPr>
        <w:br/>
      </w:r>
    </w:p>
    <w:tbl>
      <w:tblPr>
        <w:tblStyle w:val="a"/>
        <w:tblW w:w="10988" w:type="dxa"/>
        <w:tblInd w:w="-108" w:type="dxa"/>
        <w:tblLayout w:type="fixed"/>
        <w:tblLook w:val="0000" w:firstRow="0" w:lastRow="0" w:firstColumn="0" w:lastColumn="0" w:noHBand="0" w:noVBand="0"/>
      </w:tblPr>
      <w:tblGrid>
        <w:gridCol w:w="5056"/>
        <w:gridCol w:w="3829"/>
        <w:gridCol w:w="2103"/>
      </w:tblGrid>
      <w:tr w:rsidR="00CE75D2" w14:paraId="1056D8B3" w14:textId="77777777">
        <w:tc>
          <w:tcPr>
            <w:tcW w:w="5057" w:type="dxa"/>
          </w:tcPr>
          <w:p w14:paraId="1056D8B0" w14:textId="77777777" w:rsidR="00CE75D2" w:rsidRDefault="001545BF">
            <w:pPr>
              <w:spacing w:line="360" w:lineRule="auto"/>
              <w:rPr>
                <w:rFonts w:ascii="Arial" w:eastAsia="Arial" w:hAnsi="Arial" w:cs="Arial"/>
              </w:rPr>
            </w:pPr>
            <w:r>
              <w:rPr>
                <w:rFonts w:ascii="Arial" w:eastAsia="Arial" w:hAnsi="Arial" w:cs="Arial"/>
                <w:sz w:val="22"/>
                <w:szCs w:val="22"/>
              </w:rPr>
              <w:t>This policy was adopted by</w:t>
            </w:r>
          </w:p>
        </w:tc>
        <w:tc>
          <w:tcPr>
            <w:tcW w:w="3829" w:type="dxa"/>
            <w:tcBorders>
              <w:bottom w:val="single" w:sz="4" w:space="0" w:color="7030A0"/>
            </w:tcBorders>
          </w:tcPr>
          <w:p w14:paraId="1056D8B1" w14:textId="77777777" w:rsidR="00CE75D2" w:rsidRDefault="001545BF">
            <w:pPr>
              <w:spacing w:line="360" w:lineRule="auto"/>
              <w:rPr>
                <w:rFonts w:ascii="Arial" w:eastAsia="Arial" w:hAnsi="Arial" w:cs="Arial"/>
              </w:rPr>
            </w:pPr>
            <w:r>
              <w:rPr>
                <w:rFonts w:ascii="Arial" w:eastAsia="Arial" w:hAnsi="Arial" w:cs="Arial"/>
              </w:rPr>
              <w:t>Hadleigh Parkside Pre-School</w:t>
            </w:r>
          </w:p>
        </w:tc>
        <w:tc>
          <w:tcPr>
            <w:tcW w:w="2103" w:type="dxa"/>
          </w:tcPr>
          <w:p w14:paraId="1056D8B2" w14:textId="77777777" w:rsidR="00CE75D2" w:rsidRDefault="001545BF">
            <w:pPr>
              <w:spacing w:line="360" w:lineRule="auto"/>
              <w:rPr>
                <w:rFonts w:ascii="Arial" w:eastAsia="Arial" w:hAnsi="Arial" w:cs="Arial"/>
              </w:rPr>
            </w:pPr>
            <w:r>
              <w:rPr>
                <w:rFonts w:ascii="Arial" w:eastAsia="Arial" w:hAnsi="Arial" w:cs="Arial"/>
                <w:sz w:val="22"/>
                <w:szCs w:val="22"/>
              </w:rPr>
              <w:t>name of setting</w:t>
            </w:r>
          </w:p>
        </w:tc>
      </w:tr>
      <w:tr w:rsidR="00CE75D2" w14:paraId="1056D8B7" w14:textId="77777777">
        <w:tc>
          <w:tcPr>
            <w:tcW w:w="5057" w:type="dxa"/>
          </w:tcPr>
          <w:p w14:paraId="1056D8B4" w14:textId="77777777" w:rsidR="00CE75D2" w:rsidRDefault="001545BF">
            <w:pPr>
              <w:spacing w:line="360" w:lineRule="auto"/>
              <w:rPr>
                <w:rFonts w:ascii="Arial" w:eastAsia="Arial" w:hAnsi="Arial" w:cs="Arial"/>
              </w:rPr>
            </w:pPr>
            <w:r>
              <w:rPr>
                <w:rFonts w:ascii="Arial" w:eastAsia="Arial" w:hAnsi="Arial" w:cs="Arial"/>
                <w:sz w:val="22"/>
                <w:szCs w:val="22"/>
              </w:rPr>
              <w:t>On</w:t>
            </w:r>
          </w:p>
        </w:tc>
        <w:tc>
          <w:tcPr>
            <w:tcW w:w="3829" w:type="dxa"/>
            <w:tcBorders>
              <w:top w:val="single" w:sz="4" w:space="0" w:color="7030A0"/>
              <w:bottom w:val="single" w:sz="4" w:space="0" w:color="7030A0"/>
            </w:tcBorders>
          </w:tcPr>
          <w:p w14:paraId="1056D8B5" w14:textId="22586E35" w:rsidR="00CE75D2" w:rsidRDefault="001545BF">
            <w:pPr>
              <w:spacing w:line="360" w:lineRule="auto"/>
              <w:rPr>
                <w:rFonts w:ascii="Arial" w:eastAsia="Arial" w:hAnsi="Arial" w:cs="Arial"/>
              </w:rPr>
            </w:pPr>
            <w:r>
              <w:rPr>
                <w:rFonts w:ascii="Arial" w:eastAsia="Arial" w:hAnsi="Arial" w:cs="Arial"/>
              </w:rPr>
              <w:t>March 2024</w:t>
            </w:r>
          </w:p>
        </w:tc>
        <w:tc>
          <w:tcPr>
            <w:tcW w:w="2103" w:type="dxa"/>
          </w:tcPr>
          <w:p w14:paraId="1056D8B6" w14:textId="77777777" w:rsidR="00CE75D2" w:rsidRDefault="001545BF">
            <w:pPr>
              <w:spacing w:line="360" w:lineRule="auto"/>
              <w:rPr>
                <w:rFonts w:ascii="Arial" w:eastAsia="Arial" w:hAnsi="Arial" w:cs="Arial"/>
              </w:rPr>
            </w:pPr>
            <w:r>
              <w:rPr>
                <w:rFonts w:ascii="Arial" w:eastAsia="Arial" w:hAnsi="Arial" w:cs="Arial"/>
                <w:sz w:val="22"/>
                <w:szCs w:val="22"/>
              </w:rPr>
              <w:t>(date)</w:t>
            </w:r>
          </w:p>
        </w:tc>
      </w:tr>
      <w:tr w:rsidR="00CE75D2" w14:paraId="1056D8BB" w14:textId="77777777">
        <w:tc>
          <w:tcPr>
            <w:tcW w:w="5057" w:type="dxa"/>
          </w:tcPr>
          <w:p w14:paraId="1056D8B8" w14:textId="77777777" w:rsidR="00CE75D2" w:rsidRDefault="001545BF">
            <w:pPr>
              <w:spacing w:line="360" w:lineRule="auto"/>
              <w:rPr>
                <w:rFonts w:ascii="Arial" w:eastAsia="Arial" w:hAnsi="Arial" w:cs="Arial"/>
              </w:rPr>
            </w:pPr>
            <w:r>
              <w:rPr>
                <w:rFonts w:ascii="Arial" w:eastAsia="Arial" w:hAnsi="Arial" w:cs="Arial"/>
                <w:sz w:val="22"/>
                <w:szCs w:val="22"/>
              </w:rPr>
              <w:t>Date to be reviewed</w:t>
            </w:r>
          </w:p>
        </w:tc>
        <w:tc>
          <w:tcPr>
            <w:tcW w:w="3829" w:type="dxa"/>
            <w:tcBorders>
              <w:top w:val="single" w:sz="4" w:space="0" w:color="7030A0"/>
              <w:bottom w:val="single" w:sz="4" w:space="0" w:color="7030A0"/>
            </w:tcBorders>
          </w:tcPr>
          <w:p w14:paraId="1056D8B9" w14:textId="37361A40" w:rsidR="00CE75D2" w:rsidRDefault="001545BF">
            <w:pPr>
              <w:spacing w:line="360" w:lineRule="auto"/>
              <w:rPr>
                <w:rFonts w:ascii="Arial" w:eastAsia="Arial" w:hAnsi="Arial" w:cs="Arial"/>
              </w:rPr>
            </w:pPr>
            <w:r>
              <w:rPr>
                <w:rFonts w:ascii="Arial" w:eastAsia="Arial" w:hAnsi="Arial" w:cs="Arial"/>
              </w:rPr>
              <w:t>March 2025</w:t>
            </w:r>
          </w:p>
        </w:tc>
        <w:tc>
          <w:tcPr>
            <w:tcW w:w="2103" w:type="dxa"/>
          </w:tcPr>
          <w:p w14:paraId="1056D8BA" w14:textId="77777777" w:rsidR="00CE75D2" w:rsidRDefault="001545BF">
            <w:pPr>
              <w:spacing w:line="360" w:lineRule="auto"/>
              <w:rPr>
                <w:rFonts w:ascii="Arial" w:eastAsia="Arial" w:hAnsi="Arial" w:cs="Arial"/>
              </w:rPr>
            </w:pPr>
            <w:r>
              <w:rPr>
                <w:rFonts w:ascii="Arial" w:eastAsia="Arial" w:hAnsi="Arial" w:cs="Arial"/>
                <w:sz w:val="22"/>
                <w:szCs w:val="22"/>
              </w:rPr>
              <w:t>(date)</w:t>
            </w:r>
          </w:p>
        </w:tc>
      </w:tr>
      <w:tr w:rsidR="00CE75D2" w14:paraId="1056D8BE" w14:textId="77777777">
        <w:tc>
          <w:tcPr>
            <w:tcW w:w="5057" w:type="dxa"/>
          </w:tcPr>
          <w:p w14:paraId="1056D8BC" w14:textId="77777777" w:rsidR="00CE75D2" w:rsidRDefault="001545BF">
            <w:pPr>
              <w:spacing w:line="360" w:lineRule="auto"/>
              <w:rPr>
                <w:rFonts w:ascii="Arial" w:eastAsia="Arial" w:hAnsi="Arial" w:cs="Arial"/>
              </w:rPr>
            </w:pPr>
            <w:r>
              <w:rPr>
                <w:rFonts w:ascii="Arial" w:eastAsia="Arial" w:hAnsi="Arial" w:cs="Arial"/>
                <w:sz w:val="22"/>
                <w:szCs w:val="22"/>
              </w:rPr>
              <w:lastRenderedPageBreak/>
              <w:t>Signed on behalf of the provider</w:t>
            </w:r>
          </w:p>
        </w:tc>
        <w:tc>
          <w:tcPr>
            <w:tcW w:w="5932" w:type="dxa"/>
            <w:gridSpan w:val="2"/>
            <w:tcBorders>
              <w:bottom w:val="single" w:sz="4" w:space="0" w:color="7030A0"/>
            </w:tcBorders>
          </w:tcPr>
          <w:p w14:paraId="1056D8BD" w14:textId="77777777" w:rsidR="00CE75D2" w:rsidRDefault="00CE75D2">
            <w:pPr>
              <w:spacing w:line="360" w:lineRule="auto"/>
              <w:rPr>
                <w:rFonts w:ascii="Arial" w:eastAsia="Arial" w:hAnsi="Arial" w:cs="Arial"/>
              </w:rPr>
            </w:pPr>
          </w:p>
        </w:tc>
      </w:tr>
      <w:tr w:rsidR="00CE75D2" w14:paraId="1056D8C1" w14:textId="77777777">
        <w:tc>
          <w:tcPr>
            <w:tcW w:w="5057" w:type="dxa"/>
            <w:tcBorders>
              <w:top w:val="nil"/>
              <w:left w:val="nil"/>
              <w:bottom w:val="nil"/>
              <w:right w:val="nil"/>
            </w:tcBorders>
          </w:tcPr>
          <w:p w14:paraId="1056D8BF" w14:textId="77777777" w:rsidR="00CE75D2" w:rsidRDefault="001545BF">
            <w:pPr>
              <w:spacing w:line="360" w:lineRule="auto"/>
              <w:rPr>
                <w:rFonts w:ascii="Arial" w:eastAsia="Arial" w:hAnsi="Arial" w:cs="Arial"/>
              </w:rPr>
            </w:pPr>
            <w:r>
              <w:rPr>
                <w:rFonts w:ascii="Arial" w:eastAsia="Arial" w:hAnsi="Arial" w:cs="Arial"/>
                <w:sz w:val="22"/>
                <w:szCs w:val="22"/>
              </w:rPr>
              <w:t>Name of signatory</w:t>
            </w:r>
          </w:p>
        </w:tc>
        <w:tc>
          <w:tcPr>
            <w:tcW w:w="5932" w:type="dxa"/>
            <w:gridSpan w:val="2"/>
            <w:tcBorders>
              <w:top w:val="single" w:sz="4" w:space="0" w:color="7030A0"/>
              <w:left w:val="nil"/>
              <w:bottom w:val="single" w:sz="4" w:space="0" w:color="7030A0"/>
              <w:right w:val="nil"/>
            </w:tcBorders>
          </w:tcPr>
          <w:p w14:paraId="1056D8C0" w14:textId="183966F3" w:rsidR="00CE75D2" w:rsidRDefault="001545BF">
            <w:pPr>
              <w:spacing w:line="360" w:lineRule="auto"/>
              <w:rPr>
                <w:rFonts w:ascii="Arial" w:eastAsia="Arial" w:hAnsi="Arial" w:cs="Arial"/>
              </w:rPr>
            </w:pPr>
            <w:r>
              <w:rPr>
                <w:rFonts w:ascii="Arial" w:eastAsia="Arial" w:hAnsi="Arial" w:cs="Arial"/>
              </w:rPr>
              <w:t>Chloe Bambridge</w:t>
            </w:r>
          </w:p>
        </w:tc>
      </w:tr>
      <w:tr w:rsidR="00CE75D2" w14:paraId="1056D8C4" w14:textId="77777777">
        <w:tc>
          <w:tcPr>
            <w:tcW w:w="5057" w:type="dxa"/>
            <w:tcBorders>
              <w:top w:val="nil"/>
              <w:left w:val="nil"/>
              <w:bottom w:val="nil"/>
              <w:right w:val="nil"/>
            </w:tcBorders>
          </w:tcPr>
          <w:p w14:paraId="1056D8C2" w14:textId="77777777" w:rsidR="00CE75D2" w:rsidRDefault="001545BF">
            <w:pPr>
              <w:spacing w:line="360" w:lineRule="auto"/>
              <w:rPr>
                <w:rFonts w:ascii="Arial" w:eastAsia="Arial" w:hAnsi="Arial" w:cs="Arial"/>
              </w:rPr>
            </w:pPr>
            <w:r>
              <w:rPr>
                <w:rFonts w:ascii="Arial" w:eastAsia="Arial" w:hAnsi="Arial" w:cs="Arial"/>
                <w:sz w:val="22"/>
                <w:szCs w:val="22"/>
              </w:rPr>
              <w:t>Role of signatory (e.g. chair/owner)</w:t>
            </w:r>
          </w:p>
        </w:tc>
        <w:tc>
          <w:tcPr>
            <w:tcW w:w="5932" w:type="dxa"/>
            <w:gridSpan w:val="2"/>
            <w:tcBorders>
              <w:top w:val="single" w:sz="4" w:space="0" w:color="7030A0"/>
              <w:left w:val="nil"/>
              <w:bottom w:val="single" w:sz="4" w:space="0" w:color="7030A0"/>
              <w:right w:val="nil"/>
            </w:tcBorders>
          </w:tcPr>
          <w:p w14:paraId="1056D8C3" w14:textId="77777777" w:rsidR="00CE75D2" w:rsidRDefault="001545BF">
            <w:pPr>
              <w:spacing w:line="360" w:lineRule="auto"/>
              <w:rPr>
                <w:rFonts w:ascii="Arial" w:eastAsia="Arial" w:hAnsi="Arial" w:cs="Arial"/>
              </w:rPr>
            </w:pPr>
            <w:r>
              <w:rPr>
                <w:rFonts w:ascii="Arial" w:eastAsia="Arial" w:hAnsi="Arial" w:cs="Arial"/>
              </w:rPr>
              <w:t>Manager</w:t>
            </w:r>
          </w:p>
        </w:tc>
      </w:tr>
    </w:tbl>
    <w:p w14:paraId="1056D8C5" w14:textId="77777777" w:rsidR="00CE75D2" w:rsidRDefault="00CE75D2">
      <w:pPr>
        <w:pBdr>
          <w:top w:val="nil"/>
          <w:left w:val="nil"/>
          <w:bottom w:val="nil"/>
          <w:right w:val="nil"/>
          <w:between w:val="nil"/>
        </w:pBdr>
        <w:spacing w:line="360" w:lineRule="auto"/>
        <w:rPr>
          <w:rFonts w:ascii="Arial" w:eastAsia="Arial" w:hAnsi="Arial" w:cs="Arial"/>
          <w:color w:val="000000"/>
          <w:sz w:val="22"/>
          <w:szCs w:val="22"/>
        </w:rPr>
      </w:pPr>
    </w:p>
    <w:sectPr w:rsidR="00CE75D2">
      <w:headerReference w:type="first" r:id="rId7"/>
      <w:pgSz w:w="11907" w:h="16839"/>
      <w:pgMar w:top="567" w:right="567" w:bottom="567" w:left="56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D8CC" w14:textId="77777777" w:rsidR="001545BF" w:rsidRDefault="001545BF">
      <w:r>
        <w:separator/>
      </w:r>
    </w:p>
  </w:endnote>
  <w:endnote w:type="continuationSeparator" w:id="0">
    <w:p w14:paraId="1056D8CE" w14:textId="77777777" w:rsidR="001545BF" w:rsidRDefault="0015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D8C8" w14:textId="77777777" w:rsidR="001545BF" w:rsidRDefault="001545BF">
      <w:r>
        <w:separator/>
      </w:r>
    </w:p>
  </w:footnote>
  <w:footnote w:type="continuationSeparator" w:id="0">
    <w:p w14:paraId="1056D8CA" w14:textId="77777777" w:rsidR="001545BF" w:rsidRDefault="0015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D8C6" w14:textId="77777777" w:rsidR="00CE75D2" w:rsidRDefault="001545BF">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b/>
        <w:sz w:val="22"/>
        <w:szCs w:val="22"/>
      </w:rPr>
      <w:t>Safeguarding and Welfare Requirement: Health</w:t>
    </w:r>
  </w:p>
  <w:p w14:paraId="1056D8C7" w14:textId="77777777" w:rsidR="00CE75D2" w:rsidRDefault="001545BF">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Pr>
        <w:rFonts w:ascii="Arial" w:eastAsia="Arial" w:hAnsi="Arial" w:cs="Arial"/>
        <w:sz w:val="22"/>
        <w:szCs w:val="22"/>
      </w:rPr>
      <w:t>Where children are provided with meals, snacks and drinks, they must be healthy, balanced and nutritious.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A28"/>
    <w:multiLevelType w:val="multilevel"/>
    <w:tmpl w:val="ABBA9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B4008"/>
    <w:multiLevelType w:val="multilevel"/>
    <w:tmpl w:val="66B48CF8"/>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5F66116"/>
    <w:multiLevelType w:val="multilevel"/>
    <w:tmpl w:val="9D32F42C"/>
    <w:lvl w:ilvl="0">
      <w:start w:val="1"/>
      <w:numFmt w:val="bullet"/>
      <w:lvlText w:val="▪"/>
      <w:lvlJc w:val="left"/>
      <w:pPr>
        <w:ind w:left="720" w:hanging="360"/>
      </w:pPr>
      <w:rPr>
        <w:rFonts w:ascii="Noto Sans Symbols" w:eastAsia="Noto Sans Symbols" w:hAnsi="Noto Sans Symbols" w:cs="Noto Sans Symbols"/>
        <w:color w:val="7030A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3E5C1361"/>
    <w:multiLevelType w:val="multilevel"/>
    <w:tmpl w:val="486016DE"/>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6771DBF"/>
    <w:multiLevelType w:val="multilevel"/>
    <w:tmpl w:val="B96AA0BC"/>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EBA205F"/>
    <w:multiLevelType w:val="multilevel"/>
    <w:tmpl w:val="4760A232"/>
    <w:lvl w:ilvl="0">
      <w:numFmt w:val="bullet"/>
      <w:lvlText w:val="-"/>
      <w:lvlJc w:val="left"/>
      <w:pPr>
        <w:ind w:left="720" w:hanging="360"/>
      </w:pPr>
      <w:rPr>
        <w:rFonts w:ascii="Arial-BoldMT" w:eastAsia="Arial-BoldMT" w:hAnsi="Arial-BoldMT" w:cs="Arial-BoldMT"/>
        <w:b/>
        <w:color w:val="7030A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73740633">
    <w:abstractNumId w:val="5"/>
  </w:num>
  <w:num w:numId="2" w16cid:durableId="344677380">
    <w:abstractNumId w:val="1"/>
  </w:num>
  <w:num w:numId="3" w16cid:durableId="1521771169">
    <w:abstractNumId w:val="4"/>
  </w:num>
  <w:num w:numId="4" w16cid:durableId="998773542">
    <w:abstractNumId w:val="0"/>
  </w:num>
  <w:num w:numId="5" w16cid:durableId="538248019">
    <w:abstractNumId w:val="3"/>
  </w:num>
  <w:num w:numId="6" w16cid:durableId="2004623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D2"/>
    <w:rsid w:val="001545BF"/>
    <w:rsid w:val="00C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D878"/>
  <w15:docId w15:val="{5C57374E-FDFA-42C3-923F-BEBE00C8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Bambridge</cp:lastModifiedBy>
  <cp:revision>2</cp:revision>
  <dcterms:created xsi:type="dcterms:W3CDTF">2024-03-06T10:55:00Z</dcterms:created>
  <dcterms:modified xsi:type="dcterms:W3CDTF">2024-03-06T10:57:00Z</dcterms:modified>
</cp:coreProperties>
</file>